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1A3C6E"/>
          <w:sz w:val="56"/>
        </w:rPr>
        <w:t>PLAN DE NEGOCIO</w:t>
      </w:r>
    </w:p>
    <w:p>
      <w:pPr>
        <w:jc w:val="center"/>
      </w:pPr>
      <w:r>
        <w:rPr>
          <w:color w:val="333366"/>
          <w:sz w:val="36"/>
        </w:rPr>
        <w:t>Finger Materiales para La Restauración S.L.</w:t>
      </w:r>
    </w:p>
    <w:p/>
    <w:p>
      <w:pPr>
        <w:jc w:val="center"/>
      </w:pPr>
      <w:r>
        <w:rPr>
          <w:sz w:val="26"/>
        </w:rPr>
        <w:t>Comercio especializado de importación/exportación de productos para restauración y conservación del patrimonio</w:t>
      </w:r>
      <w:r>
        <w:rPr>
          <w:sz w:val="26"/>
        </w:rPr>
        <w:br/>
        <w:t>Alemania ↔ España</w:t>
      </w:r>
      <w:r>
        <w:rPr>
          <w:sz w:val="22"/>
        </w:rPr>
        <w:br/>
        <w:br/>
        <w:t>Solicitante: Moritz Finger</w:t>
      </w:r>
      <w:r>
        <w:rPr>
          <w:sz w:val="22"/>
        </w:rPr>
        <w:br/>
        <w:t>Sedes: Alemania (sede principal), España (Alicante)</w:t>
      </w:r>
      <w:r>
        <w:rPr>
          <w:sz w:val="22"/>
        </w:rPr>
        <w:br/>
        <w:t>Inicio previsto: 01.05.2026</w:t>
      </w:r>
      <w:r>
        <w:rPr>
          <w:sz w:val="22"/>
        </w:rPr>
        <w:br/>
        <w:t>Fecha: Abril 2026</w:t>
      </w:r>
    </w:p>
    <w:p/>
    <w:p>
      <w:pPr>
        <w:pStyle w:val="Heading1"/>
      </w:pPr>
      <w:r>
        <w:t>1. Resumen Ejecutivo</w:t>
      </w:r>
    </w:p>
    <w:p>
      <w:r>
        <w:t>Finger Materiales para La Restauración S.L. establece la distribución exclusiva de toda la gama de productos de Aurelio GmbH, Görlitz, en el mercado español. Aurelio es un distribuidor especializado consolidado en suministros para restauración con un amplio catálogo: productos químicos básicos, pigmentos, goma laca, resinas sintéticas, herrajes para muebles, elementos de madera y herramientas de restauración. El surtido se complementa con marcas italianas premium (Bresciani, CTS) y especialistas alemanes (Remers).</w:t>
      </w:r>
    </w:p>
    <w:p>
      <w:r>
        <w:t>El modelo de negocio se basa en dos pilares: la distribución de productos alemanes de restauración hacia España y el canal de retorno de productos químicos españoles (química industrial, química de envasado, química de limpieza) hacia Alemania. La entrega se realiza Just-in-Time desde Görlitz — sin almacén propio en la fase inicial, con mínimo riesgo de inmovilización de capital.</w:t>
      </w:r>
    </w:p>
    <w:p>
      <w:r>
        <w:t>Al inicio, un inversor aporta 100.000 EUR. Tras 6 meses se solicita además un crédito bancario de 60.000 EUR para financiar la expansión (almacén, ampliación del catálogo). La empresa se gestiona desde Alemania, y la operación comercial se realiza desde una oficina en Alicante. Un comercial comienza de inmediato, y una asistente a tiempo parcial se incorpora a los 3 meses.</w:t>
      </w:r>
    </w:p>
    <w:p>
      <w:r>
        <w:rPr>
          <w:b/>
        </w:rPr>
        <w:t xml:space="preserve">Capital del inversor: </w:t>
      </w:r>
      <w:r>
        <w:t>100.000 EUR (al inicio)</w:t>
      </w:r>
    </w:p>
    <w:p>
      <w:r>
        <w:rPr>
          <w:b/>
        </w:rPr>
        <w:t xml:space="preserve">Crédito bancario: </w:t>
      </w:r>
      <w:r>
        <w:t>60.000 EUR (tras 6 meses)</w:t>
      </w:r>
    </w:p>
    <w:p>
      <w:r>
        <w:rPr>
          <w:b/>
        </w:rPr>
        <w:t xml:space="preserve">Break-Even: </w:t>
      </w:r>
      <w:r>
        <w:t>Mes 8-10</w:t>
      </w:r>
    </w:p>
    <w:p>
      <w:r>
        <w:rPr>
          <w:b/>
        </w:rPr>
        <w:t xml:space="preserve">Previsión de facturación Año 3: </w:t>
      </w:r>
      <w:r>
        <w:t>2.200.000 EUR</w:t>
      </w:r>
    </w:p>
    <w:p>
      <w:pPr>
        <w:pStyle w:val="Heading1"/>
      </w:pPr>
      <w:r>
        <w:t>2. Idea de Negocio y Oferta</w:t>
      </w:r>
    </w:p>
    <w:p>
      <w:pPr>
        <w:pStyle w:val="Heading2"/>
      </w:pPr>
      <w:r>
        <w:t>2.1 Oferta de productos — Alemania → España</w:t>
      </w:r>
    </w:p>
    <w:p>
      <w:r>
        <w:t>Gama completa de productos de Aurelio GmbH para restauración profesional:</w:t>
      </w:r>
    </w:p>
    <w:p>
      <w:pPr>
        <w:pStyle w:val="ListBullet"/>
      </w:pPr>
      <w:r>
        <w:t>Productos químicos básicos (disolventes, ácidos, bases)</w:t>
      </w:r>
    </w:p>
    <w:p>
      <w:pPr>
        <w:pStyle w:val="ListBullet"/>
      </w:pPr>
      <w:r>
        <w:t>Pigmentos y colorantes históricos</w:t>
      </w:r>
    </w:p>
    <w:p>
      <w:pPr>
        <w:pStyle w:val="ListBullet"/>
      </w:pPr>
      <w:r>
        <w:t>Goma laca (laca en escamas, cola de hueso, cola de esturión)</w:t>
      </w:r>
    </w:p>
    <w:p>
      <w:pPr>
        <w:pStyle w:val="ListBullet"/>
      </w:pPr>
      <w:r>
        <w:t>Resinas sintéticas (epoxi, poliéster, acrílico)</w:t>
      </w:r>
    </w:p>
    <w:p>
      <w:pPr>
        <w:pStyle w:val="ListBullet"/>
      </w:pPr>
      <w:r>
        <w:t>Herrajes para muebles y elementos de madera (reproducciones históricas)</w:t>
      </w:r>
    </w:p>
    <w:p>
      <w:pPr>
        <w:pStyle w:val="ListBullet"/>
      </w:pPr>
      <w:r>
        <w:t>Herramientas de restauración para madera, piedra y metal</w:t>
      </w:r>
    </w:p>
    <w:p>
      <w:pPr>
        <w:pStyle w:val="ListBullet"/>
      </w:pPr>
      <w:r>
        <w:t>Productos de Bresciani (IT), CTS (IT), Remers (DE)</w:t>
      </w:r>
    </w:p>
    <w:p>
      <w:pPr>
        <w:pStyle w:val="Heading2"/>
      </w:pPr>
      <w:r>
        <w:t>2.2 Oferta de productos — España → Alemania</w:t>
      </w:r>
    </w:p>
    <w:p>
      <w:r>
        <w:t>Distribución de productos químicos españoles de la región de Alicante/Valencia:</w:t>
      </w:r>
    </w:p>
    <w:p>
      <w:pPr>
        <w:pStyle w:val="ListBullet"/>
      </w:pPr>
      <w:r>
        <w:t>Química industrial</w:t>
      </w:r>
    </w:p>
    <w:p>
      <w:pPr>
        <w:pStyle w:val="ListBullet"/>
      </w:pPr>
      <w:r>
        <w:t>Química de envasado</w:t>
      </w:r>
    </w:p>
    <w:p>
      <w:pPr>
        <w:pStyle w:val="ListBullet"/>
      </w:pPr>
      <w:r>
        <w:t>Química de limpieza</w:t>
      </w:r>
    </w:p>
    <w:p>
      <w:pPr>
        <w:pStyle w:val="ListBullet"/>
      </w:pPr>
      <w:r>
        <w:t>Proveedores potenciales: Productos Químicos de Valencia, red QUIMACOVA (más de 230 empresas)</w:t>
      </w:r>
    </w:p>
    <w:p>
      <w:pPr>
        <w:pStyle w:val="Heading2"/>
      </w:pPr>
      <w:r>
        <w:t>2.3 Propuesta de Valor Única (USP)</w:t>
      </w:r>
    </w:p>
    <w:p>
      <w:pPr>
        <w:pStyle w:val="ListBullet"/>
      </w:pPr>
      <w:r>
        <w:t>Distribución exclusiva de Aurelio GmbH para España</w:t>
      </w:r>
    </w:p>
    <w:p>
      <w:pPr>
        <w:pStyle w:val="ListBullet"/>
      </w:pPr>
      <w:r>
        <w:t>Entrega Just-in-Time — sin riesgo de inventario</w:t>
      </w:r>
    </w:p>
    <w:p>
      <w:pPr>
        <w:pStyle w:val="ListBullet"/>
      </w:pPr>
      <w:r>
        <w:t>Productos alemanes de calidad con atención local en español</w:t>
      </w:r>
    </w:p>
    <w:p>
      <w:pPr>
        <w:pStyle w:val="ListBullet"/>
      </w:pPr>
      <w:r>
        <w:t>Comercio bidireccional — sinergias logísticas</w:t>
      </w:r>
    </w:p>
    <w:p>
      <w:pPr>
        <w:pStyle w:val="ListBullet"/>
      </w:pPr>
      <w:r>
        <w:t>Segunda línea de negocio que reduce la dependencia de un solo mercado</w:t>
      </w:r>
    </w:p>
    <w:p>
      <w:pPr>
        <w:pStyle w:val="Heading1"/>
      </w:pPr>
      <w:r>
        <w:t>3. Análisis de Mercado</w:t>
      </w:r>
    </w:p>
    <w:p>
      <w:pPr>
        <w:pStyle w:val="Heading2"/>
      </w:pPr>
      <w:r>
        <w:t>3.1 Volumen de mercado en España</w:t>
      </w:r>
    </w:p>
    <w:p>
      <w:r>
        <w:t>El mercado español de suministros para restauración muestra un crecimiento estable. España cuenta con 49 sitios declarados Patrimonio Mundial por la UNESCO (3.er puesto mundial) y más de 100.000 edificios protegidos como patrimonio.</w:t>
      </w:r>
    </w:p>
    <w:tbl>
      <w:tblPr>
        <w:tblStyle w:val="LightGrid-Accent1"/>
        <w:tblW w:type="auto" w:w="0"/>
        <w:tblLook w:firstColumn="1" w:firstRow="1" w:lastColumn="0" w:lastRow="0" w:noHBand="0" w:noVBand="1" w:val="04A0"/>
      </w:tblPr>
      <w:tblGrid>
        <w:gridCol w:w="4320"/>
        <w:gridCol w:w="4320"/>
      </w:tblGrid>
      <w:tr>
        <w:tc>
          <w:tcPr>
            <w:tcW w:type="dxa" w:w="4320"/>
            <w:shd w:fill="1A3C6E"/>
          </w:tcPr>
          <w:p>
            <w:r>
              <w:rPr>
                <w:b/>
                <w:color w:val="FFFFFF"/>
              </w:rPr>
              <w:t>Segmento</w:t>
            </w:r>
          </w:p>
        </w:tc>
        <w:tc>
          <w:tcPr>
            <w:tcW w:type="dxa" w:w="4320"/>
            <w:shd w:fill="1A3C6E"/>
          </w:tcPr>
          <w:p>
            <w:r>
              <w:rPr>
                <w:b/>
                <w:color w:val="FFFFFF"/>
              </w:rPr>
              <w:t>Volumen estimado</w:t>
            </w:r>
          </w:p>
        </w:tc>
      </w:tr>
      <w:tr>
        <w:tc>
          <w:tcPr>
            <w:tcW w:type="dxa" w:w="4320"/>
          </w:tcPr>
          <w:p>
            <w:r>
              <w:t>Conservación pública del patrimonio</w:t>
            </w:r>
          </w:p>
        </w:tc>
        <w:tc>
          <w:tcPr>
            <w:tcW w:type="dxa" w:w="4320"/>
          </w:tcPr>
          <w:p>
            <w:r>
              <w:t>800 Mill. EUR/año</w:t>
            </w:r>
          </w:p>
        </w:tc>
      </w:tr>
      <w:tr>
        <w:tc>
          <w:tcPr>
            <w:tcW w:type="dxa" w:w="4320"/>
          </w:tcPr>
          <w:p>
            <w:r>
              <w:t>Restauración privada y rehabilitación</w:t>
            </w:r>
          </w:p>
        </w:tc>
        <w:tc>
          <w:tcPr>
            <w:tcW w:type="dxa" w:w="4320"/>
          </w:tcPr>
          <w:p>
            <w:r>
              <w:t>400 Mill. EUR/año</w:t>
            </w:r>
          </w:p>
        </w:tc>
      </w:tr>
      <w:tr>
        <w:tc>
          <w:tcPr>
            <w:tcW w:type="dxa" w:w="4320"/>
          </w:tcPr>
          <w:p>
            <w:r>
              <w:t>Cuota de materiales (~15%)</w:t>
            </w:r>
          </w:p>
        </w:tc>
        <w:tc>
          <w:tcPr>
            <w:tcW w:type="dxa" w:w="4320"/>
          </w:tcPr>
          <w:p>
            <w:r>
              <w:t>180 Mill. EUR/año</w:t>
            </w:r>
          </w:p>
        </w:tc>
      </w:tr>
    </w:tbl>
    <w:p/>
    <w:p>
      <w:pPr>
        <w:pStyle w:val="Heading2"/>
      </w:pPr>
      <w:r>
        <w:t>3.2 Factores de crecimiento</w:t>
      </w:r>
    </w:p>
    <w:p>
      <w:pPr>
        <w:pStyle w:val="ListBullet"/>
      </w:pPr>
      <w:r>
        <w:t>Programas de financiación de la UE (Next Generation EU) — España recibe 140.000 Mill. EUR</w:t>
      </w:r>
    </w:p>
    <w:p>
      <w:pPr>
        <w:pStyle w:val="ListBullet"/>
      </w:pPr>
      <w:r>
        <w:t>Boom turístico — inversión en cascos históricos</w:t>
      </w:r>
    </w:p>
    <w:p>
      <w:pPr>
        <w:pStyle w:val="ListBullet"/>
      </w:pPr>
      <w:r>
        <w:t>Sostenibilidad — rehabilitar en lugar de demoler</w:t>
      </w:r>
    </w:p>
    <w:p>
      <w:pPr>
        <w:pStyle w:val="ListBullet"/>
      </w:pPr>
      <w:r>
        <w:t>Hoteles y restaurantes modernizan conservando el encanto histórico</w:t>
      </w:r>
    </w:p>
    <w:p>
      <w:pPr>
        <w:pStyle w:val="Heading2"/>
      </w:pPr>
      <w:r>
        <w:t>3.3 Grupos objetivo</w:t>
      </w:r>
    </w:p>
    <w:p>
      <w:pPr>
        <w:pStyle w:val="ListBullet"/>
      </w:pPr>
      <w:r>
        <w:t>Centros públicos de restauración</w:t>
      </w:r>
    </w:p>
    <w:p>
      <w:pPr>
        <w:pStyle w:val="ListBullet"/>
      </w:pPr>
      <w:r>
        <w:t>Talleres privados de restauración</w:t>
      </w:r>
    </w:p>
    <w:p>
      <w:pPr>
        <w:pStyle w:val="ListBullet"/>
      </w:pPr>
      <w:r>
        <w:t>Empresas constructoras especializadas en restauración</w:t>
      </w:r>
    </w:p>
    <w:p>
      <w:pPr>
        <w:pStyle w:val="ListBullet"/>
      </w:pPr>
      <w:r>
        <w:t>Estudios de arquitectura de conservación del patrimonio</w:t>
      </w:r>
    </w:p>
    <w:p>
      <w:pPr>
        <w:pStyle w:val="ListBullet"/>
      </w:pPr>
      <w:r>
        <w:t>Cadenas hoteleras y establecimientos gastronómicos</w:t>
      </w:r>
    </w:p>
    <w:p>
      <w:pPr>
        <w:pStyle w:val="ListBullet"/>
      </w:pPr>
      <w:r>
        <w:t>Museos e iglesias con talleres propios</w:t>
      </w:r>
    </w:p>
    <w:p>
      <w:pPr>
        <w:pStyle w:val="Heading2"/>
      </w:pPr>
      <w:r>
        <w:t>3.4 Competencia</w:t>
      </w:r>
    </w:p>
    <w:tbl>
      <w:tblPr>
        <w:tblStyle w:val="LightGrid-Accent1"/>
        <w:tblW w:type="auto" w:w="0"/>
        <w:tblLook w:firstColumn="1" w:firstRow="1" w:lastColumn="0" w:lastRow="0" w:noHBand="0" w:noVBand="1" w:val="04A0"/>
      </w:tblPr>
      <w:tblGrid>
        <w:gridCol w:w="4320"/>
        <w:gridCol w:w="4320"/>
      </w:tblGrid>
      <w:tr>
        <w:tc>
          <w:tcPr>
            <w:tcW w:type="dxa" w:w="4320"/>
            <w:shd w:fill="1A3C6E"/>
          </w:tcPr>
          <w:p>
            <w:r>
              <w:rPr>
                <w:b/>
                <w:color w:val="FFFFFF"/>
              </w:rPr>
              <w:t>Competidor</w:t>
            </w:r>
          </w:p>
        </w:tc>
        <w:tc>
          <w:tcPr>
            <w:tcW w:type="dxa" w:w="4320"/>
            <w:shd w:fill="1A3C6E"/>
          </w:tcPr>
          <w:p>
            <w:r>
              <w:rPr>
                <w:b/>
                <w:color w:val="FFFFFF"/>
              </w:rPr>
              <w:t>Punto débil</w:t>
            </w:r>
          </w:p>
        </w:tc>
      </w:tr>
      <w:tr>
        <w:tc>
          <w:tcPr>
            <w:tcW w:type="dxa" w:w="4320"/>
          </w:tcPr>
          <w:p>
            <w:r>
              <w:t>Proveedores locales españoles</w:t>
            </w:r>
          </w:p>
        </w:tc>
        <w:tc>
          <w:tcPr>
            <w:tcW w:type="dxa" w:w="4320"/>
          </w:tcPr>
          <w:p>
            <w:r>
              <w:t>Menor calidad de producto</w:t>
            </w:r>
          </w:p>
        </w:tc>
      </w:tr>
      <w:tr>
        <w:tc>
          <w:tcPr>
            <w:tcW w:type="dxa" w:w="4320"/>
          </w:tcPr>
          <w:p>
            <w:r>
              <w:t>CTS España (Barcelona)</w:t>
            </w:r>
          </w:p>
        </w:tc>
        <w:tc>
          <w:tcPr>
            <w:tcW w:type="dxa" w:w="4320"/>
          </w:tcPr>
          <w:p>
            <w:r>
              <w:t>Solo productos propios, sin surtido completo</w:t>
            </w:r>
          </w:p>
        </w:tc>
      </w:tr>
      <w:tr>
        <w:tc>
          <w:tcPr>
            <w:tcW w:type="dxa" w:w="4320"/>
          </w:tcPr>
          <w:p>
            <w:r>
              <w:t>Importación directa desde DE/IT</w:t>
            </w:r>
          </w:p>
        </w:tc>
        <w:tc>
          <w:tcPr>
            <w:tcW w:type="dxa" w:w="4320"/>
          </w:tcPr>
          <w:p>
            <w:r>
              <w:t>Plazos largos, barrera idiomática, pedidos mínimos elevados</w:t>
            </w:r>
          </w:p>
        </w:tc>
      </w:tr>
    </w:tbl>
    <w:p/>
    <w:p>
      <w:pPr>
        <w:pStyle w:val="Heading1"/>
      </w:pPr>
      <w:r>
        <w:t>4. Estructura Empresarial</w:t>
      </w:r>
    </w:p>
    <w:p>
      <w:pPr>
        <w:pStyle w:val="Heading2"/>
      </w:pPr>
      <w:r>
        <w:t>4.1 Forma jurídica</w:t>
      </w:r>
    </w:p>
    <w:p>
      <w:r>
        <w:t>Fase 1 (Mes 1-6): Trabajador Autónomo — constitución sencilla, costes fijos reducidos</w:t>
      </w:r>
    </w:p>
    <w:p>
      <w:r>
        <w:t>Fase 2 (a partir del Mes 7): Sociedad Limitada (SL) — limitación de responsabilidad, participación del inversor</w:t>
      </w:r>
    </w:p>
    <w:p>
      <w:pPr>
        <w:pStyle w:val="Heading2"/>
      </w:pPr>
      <w:r>
        <w:t>4.2 Planificación de personal</w:t>
      </w:r>
    </w:p>
    <w:tbl>
      <w:tblPr>
        <w:tblStyle w:val="LightGrid-Accent1"/>
        <w:tblW w:type="auto" w:w="0"/>
        <w:tblLook w:firstColumn="1" w:firstRow="1" w:lastColumn="0" w:lastRow="0" w:noHBand="0" w:noVBand="1" w:val="04A0"/>
      </w:tblPr>
      <w:tblGrid>
        <w:gridCol w:w="2880"/>
        <w:gridCol w:w="2880"/>
        <w:gridCol w:w="2880"/>
      </w:tblGrid>
      <w:tr>
        <w:tc>
          <w:tcPr>
            <w:tcW w:type="dxa" w:w="2880"/>
            <w:shd w:fill="1A3C6E"/>
          </w:tcPr>
          <w:p>
            <w:r>
              <w:rPr>
                <w:b/>
                <w:color w:val="FFFFFF"/>
              </w:rPr>
              <w:t>Momento</w:t>
            </w:r>
          </w:p>
        </w:tc>
        <w:tc>
          <w:tcPr>
            <w:tcW w:type="dxa" w:w="2880"/>
            <w:shd w:fill="1A3C6E"/>
          </w:tcPr>
          <w:p>
            <w:r>
              <w:rPr>
                <w:b/>
                <w:color w:val="FFFFFF"/>
              </w:rPr>
              <w:t>Puesto</w:t>
            </w:r>
          </w:p>
        </w:tc>
        <w:tc>
          <w:tcPr>
            <w:tcW w:type="dxa" w:w="2880"/>
            <w:shd w:fill="1A3C6E"/>
          </w:tcPr>
          <w:p>
            <w:r>
              <w:rPr>
                <w:b/>
                <w:color w:val="FFFFFF"/>
              </w:rPr>
              <w:t>Tipo</w:t>
            </w:r>
          </w:p>
        </w:tc>
      </w:tr>
      <w:tr>
        <w:tc>
          <w:tcPr>
            <w:tcW w:type="dxa" w:w="2880"/>
          </w:tcPr>
          <w:p>
            <w:r>
              <w:t>Inmediato (Mes 1)</w:t>
            </w:r>
          </w:p>
        </w:tc>
        <w:tc>
          <w:tcPr>
            <w:tcW w:type="dxa" w:w="2880"/>
          </w:tcPr>
          <w:p>
            <w:r>
              <w:t>Director General (Fundador)</w:t>
            </w:r>
          </w:p>
        </w:tc>
        <w:tc>
          <w:tcPr>
            <w:tcW w:type="dxa" w:w="2880"/>
          </w:tcPr>
          <w:p>
            <w:r>
              <w:t>Tiempo completo</w:t>
            </w:r>
          </w:p>
        </w:tc>
      </w:tr>
      <w:tr>
        <w:tc>
          <w:tcPr>
            <w:tcW w:type="dxa" w:w="2880"/>
          </w:tcPr>
          <w:p>
            <w:r>
              <w:t>Inmediato (Mes 1)</w:t>
            </w:r>
          </w:p>
        </w:tc>
        <w:tc>
          <w:tcPr>
            <w:tcW w:type="dxa" w:w="2880"/>
          </w:tcPr>
          <w:p>
            <w:r>
              <w:t>Comercial España</w:t>
            </w:r>
          </w:p>
        </w:tc>
        <w:tc>
          <w:tcPr>
            <w:tcW w:type="dxa" w:w="2880"/>
          </w:tcPr>
          <w:p>
            <w:r>
              <w:t>Tiempo completo</w:t>
            </w:r>
          </w:p>
        </w:tc>
      </w:tr>
      <w:tr>
        <w:tc>
          <w:tcPr>
            <w:tcW w:type="dxa" w:w="2880"/>
          </w:tcPr>
          <w:p>
            <w:r>
              <w:t>Tras 3 meses</w:t>
            </w:r>
          </w:p>
        </w:tc>
        <w:tc>
          <w:tcPr>
            <w:tcW w:type="dxa" w:w="2880"/>
          </w:tcPr>
          <w:p>
            <w:r>
              <w:t>Asistente</w:t>
            </w:r>
          </w:p>
        </w:tc>
        <w:tc>
          <w:tcPr>
            <w:tcW w:type="dxa" w:w="2880"/>
          </w:tcPr>
          <w:p>
            <w:r>
              <w:t>Tiempo parcial</w:t>
            </w:r>
          </w:p>
        </w:tc>
      </w:tr>
      <w:tr>
        <w:tc>
          <w:tcPr>
            <w:tcW w:type="dxa" w:w="2880"/>
          </w:tcPr>
          <w:p>
            <w:r>
              <w:t>Año 2</w:t>
            </w:r>
          </w:p>
        </w:tc>
        <w:tc>
          <w:tcPr>
            <w:tcW w:type="dxa" w:w="2880"/>
          </w:tcPr>
          <w:p>
            <w:r>
              <w:t>Encargado de almacén (opcional)</w:t>
            </w:r>
          </w:p>
        </w:tc>
        <w:tc>
          <w:tcPr>
            <w:tcW w:type="dxa" w:w="2880"/>
          </w:tcPr>
          <w:p>
            <w:r>
              <w:t>Tiempo completo</w:t>
            </w:r>
          </w:p>
        </w:tc>
      </w:tr>
    </w:tbl>
    <w:p/>
    <w:p>
      <w:pPr>
        <w:pStyle w:val="Heading2"/>
      </w:pPr>
      <w:r>
        <w:t>4.3 Modo de trabajo</w:t>
      </w:r>
    </w:p>
    <w:p>
      <w:pPr>
        <w:pStyle w:val="ListBullet"/>
      </w:pPr>
      <w:r>
        <w:t>Director General: 2 semanas en Alemania / 2 semanas en España</w:t>
      </w:r>
    </w:p>
    <w:p>
      <w:pPr>
        <w:pStyle w:val="ListBullet"/>
      </w:pPr>
      <w:r>
        <w:t>Comercial (desde el día 1): captación y atención de clientes in situ en España</w:t>
      </w:r>
    </w:p>
    <w:p>
      <w:pPr>
        <w:pStyle w:val="ListBullet"/>
      </w:pPr>
      <w:r>
        <w:t>Asistente (desde el Mes 3): back office, contabilidad, atención al cliente</w:t>
      </w:r>
    </w:p>
    <w:p>
      <w:pPr>
        <w:pStyle w:val="ListBullet"/>
      </w:pPr>
      <w:r>
        <w:t>Alemania: compras a Aurelio, coordinación logística</w:t>
      </w:r>
    </w:p>
    <w:p>
      <w:pPr>
        <w:pStyle w:val="Heading1"/>
      </w:pPr>
      <w:r>
        <w:t>5. Logística — Modelo Just-in-Time</w:t>
      </w:r>
    </w:p>
    <w:p>
      <w:r>
        <w:t>La entrega se realiza Just-in-Time directamente desde Aurelio GmbH en Görlitz a los clientes españoles. Sin almacén propio en la fase inicial — esto reduce significativamente las necesidades de capital y elimina el riesgo de inventario.</w:t>
      </w:r>
    </w:p>
    <w:p>
      <w:pPr>
        <w:pStyle w:val="ListBullet"/>
      </w:pPr>
      <w:r>
        <w:t>El cliente realiza su pedido a través de la web/teléfono/email</w:t>
      </w:r>
    </w:p>
    <w:p>
      <w:pPr>
        <w:pStyle w:val="ListBullet"/>
      </w:pPr>
      <w:r>
        <w:t>El pedido se traslada a Aurelio GmbH</w:t>
      </w:r>
    </w:p>
    <w:p>
      <w:pPr>
        <w:pStyle w:val="ListBullet"/>
      </w:pPr>
      <w:r>
        <w:t>Aurelio envía directamente a España (transportista)</w:t>
      </w:r>
    </w:p>
    <w:p>
      <w:pPr>
        <w:pStyle w:val="ListBullet"/>
      </w:pPr>
      <w:r>
        <w:t>Plazo de entrega: aprox. 5-8 días laborables</w:t>
      </w:r>
    </w:p>
    <w:p>
      <w:pPr>
        <w:pStyle w:val="ListBullet"/>
      </w:pPr>
      <w:r>
        <w:t>A partir del Año 2 (opcional): establecimiento de un almacén local para productos de alta rotación</w:t>
      </w:r>
    </w:p>
    <w:p>
      <w:pPr>
        <w:pStyle w:val="Heading1"/>
      </w:pPr>
      <w:r>
        <w:t>6. Financiación</w:t>
      </w:r>
    </w:p>
    <w:p>
      <w:pPr>
        <w:pStyle w:val="Heading2"/>
      </w:pPr>
      <w:r>
        <w:t>6.1 Capital del inversor al inicio</w:t>
      </w:r>
    </w:p>
    <w:tbl>
      <w:tblPr>
        <w:tblStyle w:val="LightGrid-Accent1"/>
        <w:tblW w:type="auto" w:w="0"/>
        <w:tblLook w:firstColumn="1" w:firstRow="1" w:lastColumn="0" w:lastRow="0" w:noHBand="0" w:noVBand="1" w:val="04A0"/>
      </w:tblPr>
      <w:tblGrid>
        <w:gridCol w:w="4320"/>
        <w:gridCol w:w="4320"/>
      </w:tblGrid>
      <w:tr>
        <w:tc>
          <w:tcPr>
            <w:tcW w:type="dxa" w:w="4320"/>
            <w:shd w:fill="1A3C6E"/>
          </w:tcPr>
          <w:p>
            <w:r>
              <w:rPr>
                <w:b/>
                <w:color w:val="FFFFFF"/>
              </w:rPr>
              <w:t>Concepto</w:t>
            </w:r>
          </w:p>
        </w:tc>
        <w:tc>
          <w:tcPr>
            <w:tcW w:type="dxa" w:w="4320"/>
            <w:shd w:fill="1A3C6E"/>
          </w:tcPr>
          <w:p>
            <w:r>
              <w:rPr>
                <w:b/>
                <w:color w:val="FFFFFF"/>
              </w:rPr>
              <w:t>Importe</w:t>
            </w:r>
          </w:p>
        </w:tc>
      </w:tr>
      <w:tr>
        <w:tc>
          <w:tcPr>
            <w:tcW w:type="dxa" w:w="4320"/>
          </w:tcPr>
          <w:p>
            <w:r>
              <w:t>Capital del inversor</w:t>
            </w:r>
          </w:p>
        </w:tc>
        <w:tc>
          <w:tcPr>
            <w:tcW w:type="dxa" w:w="4320"/>
          </w:tcPr>
          <w:p>
            <w:r>
              <w:t>100.000 EUR</w:t>
            </w:r>
          </w:p>
        </w:tc>
      </w:tr>
      <w:tr>
        <w:tc>
          <w:tcPr>
            <w:tcW w:type="dxa" w:w="4320"/>
          </w:tcPr>
          <w:p>
            <w:r>
              <w:t>Contraprestación</w:t>
            </w:r>
          </w:p>
        </w:tc>
        <w:tc>
          <w:tcPr>
            <w:tcW w:type="dxa" w:w="4320"/>
          </w:tcPr>
          <w:p>
            <w:r>
              <w:t>Participación en facturación (a negociar)</w:t>
            </w:r>
          </w:p>
        </w:tc>
      </w:tr>
      <w:tr>
        <w:tc>
          <w:tcPr>
            <w:tcW w:type="dxa" w:w="4320"/>
          </w:tcPr>
          <w:p>
            <w:r>
              <w:t>Destino</w:t>
            </w:r>
          </w:p>
        </w:tc>
        <w:tc>
          <w:tcPr>
            <w:tcW w:type="dxa" w:w="4320"/>
          </w:tcPr>
          <w:p>
            <w:r>
              <w:t>Entrada al mercado, personal, liquidez, marketing</w:t>
            </w:r>
          </w:p>
        </w:tc>
      </w:tr>
    </w:tbl>
    <w:p/>
    <w:p>
      <w:pPr>
        <w:pStyle w:val="Heading2"/>
      </w:pPr>
      <w:r>
        <w:t>6.2 Uso del capital del inversor</w:t>
      </w:r>
    </w:p>
    <w:tbl>
      <w:tblPr>
        <w:tblStyle w:val="LightGrid-Accent1"/>
        <w:tblW w:type="auto" w:w="0"/>
        <w:tblLook w:firstColumn="1" w:firstRow="1" w:lastColumn="0" w:lastRow="0" w:noHBand="0" w:noVBand="1" w:val="04A0"/>
      </w:tblPr>
      <w:tblGrid>
        <w:gridCol w:w="4320"/>
        <w:gridCol w:w="4320"/>
      </w:tblGrid>
      <w:tr>
        <w:tc>
          <w:tcPr>
            <w:tcW w:type="dxa" w:w="4320"/>
            <w:shd w:fill="1A3C6E"/>
          </w:tcPr>
          <w:p>
            <w:r>
              <w:rPr>
                <w:b/>
                <w:color w:val="FFFFFF"/>
              </w:rPr>
              <w:t>Concepto</w:t>
            </w:r>
          </w:p>
        </w:tc>
        <w:tc>
          <w:tcPr>
            <w:tcW w:type="dxa" w:w="4320"/>
            <w:shd w:fill="1A3C6E"/>
          </w:tcPr>
          <w:p>
            <w:r>
              <w:rPr>
                <w:b/>
                <w:color w:val="FFFFFF"/>
              </w:rPr>
              <w:t>Importe</w:t>
            </w:r>
          </w:p>
        </w:tc>
      </w:tr>
      <w:tr>
        <w:tc>
          <w:tcPr>
            <w:tcW w:type="dxa" w:w="4320"/>
          </w:tcPr>
          <w:p>
            <w:r>
              <w:t>Salario fundador (6 meses x 5.000 EUR)</w:t>
            </w:r>
          </w:p>
        </w:tc>
        <w:tc>
          <w:tcPr>
            <w:tcW w:type="dxa" w:w="4320"/>
          </w:tcPr>
          <w:p>
            <w:r>
              <w:t>30.000 EUR</w:t>
            </w:r>
          </w:p>
        </w:tc>
      </w:tr>
      <w:tr>
        <w:tc>
          <w:tcPr>
            <w:tcW w:type="dxa" w:w="4320"/>
          </w:tcPr>
          <w:p>
            <w:r>
              <w:t>Comercial (6 meses x 3.500 EUR)</w:t>
            </w:r>
          </w:p>
        </w:tc>
        <w:tc>
          <w:tcPr>
            <w:tcW w:type="dxa" w:w="4320"/>
          </w:tcPr>
          <w:p>
            <w:r>
              <w:t>21.000 EUR</w:t>
            </w:r>
          </w:p>
        </w:tc>
      </w:tr>
      <w:tr>
        <w:tc>
          <w:tcPr>
            <w:tcW w:type="dxa" w:w="4320"/>
          </w:tcPr>
          <w:p>
            <w:r>
              <w:t>Asistente tiempo parcial (3 meses x 1.500 EUR)</w:t>
            </w:r>
          </w:p>
        </w:tc>
        <w:tc>
          <w:tcPr>
            <w:tcW w:type="dxa" w:w="4320"/>
          </w:tcPr>
          <w:p>
            <w:r>
              <w:t>4.500 EUR</w:t>
            </w:r>
          </w:p>
        </w:tc>
      </w:tr>
      <w:tr>
        <w:tc>
          <w:tcPr>
            <w:tcW w:type="dxa" w:w="4320"/>
          </w:tcPr>
          <w:p>
            <w:r>
              <w:t>Página web + tienda online</w:t>
            </w:r>
          </w:p>
        </w:tc>
        <w:tc>
          <w:tcPr>
            <w:tcW w:type="dxa" w:w="4320"/>
          </w:tcPr>
          <w:p>
            <w:r>
              <w:t>5.000 EUR</w:t>
            </w:r>
          </w:p>
        </w:tc>
      </w:tr>
      <w:tr>
        <w:tc>
          <w:tcPr>
            <w:tcW w:type="dxa" w:w="4320"/>
          </w:tcPr>
          <w:p>
            <w:r>
              <w:t>Marketing + ferias</w:t>
            </w:r>
          </w:p>
        </w:tc>
        <w:tc>
          <w:tcPr>
            <w:tcW w:type="dxa" w:w="4320"/>
          </w:tcPr>
          <w:p>
            <w:r>
              <w:t>12.000 EUR</w:t>
            </w:r>
          </w:p>
        </w:tc>
      </w:tr>
      <w:tr>
        <w:tc>
          <w:tcPr>
            <w:tcW w:type="dxa" w:w="4320"/>
          </w:tcPr>
          <w:p>
            <w:r>
              <w:t>Gastos de viaje (España/Alemania)</w:t>
            </w:r>
          </w:p>
        </w:tc>
        <w:tc>
          <w:tcPr>
            <w:tcW w:type="dxa" w:w="4320"/>
          </w:tcPr>
          <w:p>
            <w:r>
              <w:t>10.000 EUR</w:t>
            </w:r>
          </w:p>
        </w:tc>
      </w:tr>
      <w:tr>
        <w:tc>
          <w:tcPr>
            <w:tcW w:type="dxa" w:w="4320"/>
          </w:tcPr>
          <w:p>
            <w:r>
              <w:t>Costes de constitución, asesoría legal, seguros</w:t>
            </w:r>
          </w:p>
        </w:tc>
        <w:tc>
          <w:tcPr>
            <w:tcW w:type="dxa" w:w="4320"/>
          </w:tcPr>
          <w:p>
            <w:r>
              <w:t>5.000 EUR</w:t>
            </w:r>
          </w:p>
        </w:tc>
      </w:tr>
      <w:tr>
        <w:tc>
          <w:tcPr>
            <w:tcW w:type="dxa" w:w="4320"/>
          </w:tcPr>
          <w:p>
            <w:r>
              <w:t>Gastos operativos + reserva</w:t>
            </w:r>
          </w:p>
        </w:tc>
        <w:tc>
          <w:tcPr>
            <w:tcW w:type="dxa" w:w="4320"/>
          </w:tcPr>
          <w:p>
            <w:r>
              <w:t>12.500 EUR</w:t>
            </w:r>
          </w:p>
        </w:tc>
      </w:tr>
      <w:tr>
        <w:tc>
          <w:tcPr>
            <w:tcW w:type="dxa" w:w="4320"/>
          </w:tcPr>
          <w:p>
            <w:r>
              <w:t>Total</w:t>
            </w:r>
          </w:p>
        </w:tc>
        <w:tc>
          <w:tcPr>
            <w:tcW w:type="dxa" w:w="4320"/>
          </w:tcPr>
          <w:p>
            <w:r>
              <w:t>100.000 EUR</w:t>
            </w:r>
          </w:p>
        </w:tc>
      </w:tr>
    </w:tbl>
    <w:p/>
    <w:p>
      <w:pPr>
        <w:pStyle w:val="Heading2"/>
      </w:pPr>
      <w:r>
        <w:t>6.3 Crédito bancario tras 6 meses</w:t>
      </w:r>
    </w:p>
    <w:tbl>
      <w:tblPr>
        <w:tblStyle w:val="LightGrid-Accent1"/>
        <w:tblW w:type="auto" w:w="0"/>
        <w:tblLook w:firstColumn="1" w:firstRow="1" w:lastColumn="0" w:lastRow="0" w:noHBand="0" w:noVBand="1" w:val="04A0"/>
      </w:tblPr>
      <w:tblGrid>
        <w:gridCol w:w="4320"/>
        <w:gridCol w:w="4320"/>
      </w:tblGrid>
      <w:tr>
        <w:tc>
          <w:tcPr>
            <w:tcW w:type="dxa" w:w="4320"/>
            <w:shd w:fill="1A3C6E"/>
          </w:tcPr>
          <w:p>
            <w:r>
              <w:rPr>
                <w:b/>
                <w:color w:val="FFFFFF"/>
              </w:rPr>
              <w:t>Concepto</w:t>
            </w:r>
          </w:p>
        </w:tc>
        <w:tc>
          <w:tcPr>
            <w:tcW w:type="dxa" w:w="4320"/>
            <w:shd w:fill="1A3C6E"/>
          </w:tcPr>
          <w:p>
            <w:r>
              <w:rPr>
                <w:b/>
                <w:color w:val="FFFFFF"/>
              </w:rPr>
              <w:t>Importe</w:t>
            </w:r>
          </w:p>
        </w:tc>
      </w:tr>
      <w:tr>
        <w:tc>
          <w:tcPr>
            <w:tcW w:type="dxa" w:w="4320"/>
          </w:tcPr>
          <w:p>
            <w:r>
              <w:t>Crédito bancario</w:t>
            </w:r>
          </w:p>
        </w:tc>
        <w:tc>
          <w:tcPr>
            <w:tcW w:type="dxa" w:w="4320"/>
          </w:tcPr>
          <w:p>
            <w:r>
              <w:t>60.000 EUR</w:t>
            </w:r>
          </w:p>
        </w:tc>
      </w:tr>
      <w:tr>
        <w:tc>
          <w:tcPr>
            <w:tcW w:type="dxa" w:w="4320"/>
          </w:tcPr>
          <w:p>
            <w:r>
              <w:t>Momento</w:t>
            </w:r>
          </w:p>
        </w:tc>
        <w:tc>
          <w:tcPr>
            <w:tcW w:type="dxa" w:w="4320"/>
          </w:tcPr>
          <w:p>
            <w:r>
              <w:t>Tras 6 meses</w:t>
            </w:r>
          </w:p>
        </w:tc>
      </w:tr>
      <w:tr>
        <w:tc>
          <w:tcPr>
            <w:tcW w:type="dxa" w:w="4320"/>
          </w:tcPr>
          <w:p>
            <w:r>
              <w:t>Destino</w:t>
            </w:r>
          </w:p>
        </w:tc>
        <w:tc>
          <w:tcPr>
            <w:tcW w:type="dxa" w:w="4320"/>
          </w:tcPr>
          <w:p>
            <w:r>
              <w:t>Establecimiento almacén España, ampliación catálogo, financiación del crecimiento</w:t>
            </w:r>
          </w:p>
        </w:tc>
      </w:tr>
      <w:tr>
        <w:tc>
          <w:tcPr>
            <w:tcW w:type="dxa" w:w="4320"/>
          </w:tcPr>
          <w:p>
            <w:r>
              <w:t>Garantías</w:t>
            </w:r>
          </w:p>
        </w:tc>
        <w:tc>
          <w:tcPr>
            <w:tcW w:type="dxa" w:w="4320"/>
          </w:tcPr>
          <w:p>
            <w:r>
              <w:t>Contrato exclusivo Aurelio, participación del inversor, aval personal posible</w:t>
            </w:r>
          </w:p>
        </w:tc>
      </w:tr>
    </w:tbl>
    <w:p/>
    <w:p>
      <w:pPr>
        <w:pStyle w:val="Heading1"/>
      </w:pPr>
      <w:r>
        <w:t>7. Planificación de Facturación</w:t>
      </w:r>
    </w:p>
    <w:p>
      <w:pPr>
        <w:pStyle w:val="Heading2"/>
      </w:pPr>
      <w:r>
        <w:t>7.1 Evolución de facturación España (productos Aurelio)</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shd w:fill="1A3C6E"/>
          </w:tcPr>
          <w:p>
            <w:r>
              <w:rPr>
                <w:b/>
                <w:color w:val="FFFFFF"/>
              </w:rPr>
            </w:r>
          </w:p>
        </w:tc>
        <w:tc>
          <w:tcPr>
            <w:tcW w:type="dxa" w:w="2160"/>
            <w:shd w:fill="1A3C6E"/>
          </w:tcPr>
          <w:p>
            <w:r>
              <w:rPr>
                <w:b/>
                <w:color w:val="FFFFFF"/>
              </w:rPr>
              <w:t>Año 1</w:t>
            </w:r>
          </w:p>
        </w:tc>
        <w:tc>
          <w:tcPr>
            <w:tcW w:type="dxa" w:w="2160"/>
            <w:shd w:fill="1A3C6E"/>
          </w:tcPr>
          <w:p>
            <w:r>
              <w:rPr>
                <w:b/>
                <w:color w:val="FFFFFF"/>
              </w:rPr>
              <w:t>Año 2</w:t>
            </w:r>
          </w:p>
        </w:tc>
        <w:tc>
          <w:tcPr>
            <w:tcW w:type="dxa" w:w="2160"/>
            <w:shd w:fill="1A3C6E"/>
          </w:tcPr>
          <w:p>
            <w:r>
              <w:rPr>
                <w:b/>
                <w:color w:val="FFFFFF"/>
              </w:rPr>
              <w:t>Año 3</w:t>
            </w:r>
          </w:p>
        </w:tc>
      </w:tr>
      <w:tr>
        <w:tc>
          <w:tcPr>
            <w:tcW w:type="dxa" w:w="2160"/>
          </w:tcPr>
          <w:p>
            <w:r>
              <w:t>Clientes activos</w:t>
            </w:r>
          </w:p>
        </w:tc>
        <w:tc>
          <w:tcPr>
            <w:tcW w:type="dxa" w:w="2160"/>
          </w:tcPr>
          <w:p>
            <w:r>
              <w:t>25</w:t>
            </w:r>
          </w:p>
        </w:tc>
        <w:tc>
          <w:tcPr>
            <w:tcW w:type="dxa" w:w="2160"/>
          </w:tcPr>
          <w:p>
            <w:r>
              <w:t>80</w:t>
            </w:r>
          </w:p>
        </w:tc>
        <w:tc>
          <w:tcPr>
            <w:tcW w:type="dxa" w:w="2160"/>
          </w:tcPr>
          <w:p>
            <w:r>
              <w:t>150</w:t>
            </w:r>
          </w:p>
        </w:tc>
      </w:tr>
      <w:tr>
        <w:tc>
          <w:tcPr>
            <w:tcW w:type="dxa" w:w="2160"/>
          </w:tcPr>
          <w:p>
            <w:r>
              <w:t>Valor medio del pedido</w:t>
            </w:r>
          </w:p>
        </w:tc>
        <w:tc>
          <w:tcPr>
            <w:tcW w:type="dxa" w:w="2160"/>
          </w:tcPr>
          <w:p>
            <w:r>
              <w:t>800 EUR</w:t>
            </w:r>
          </w:p>
        </w:tc>
        <w:tc>
          <w:tcPr>
            <w:tcW w:type="dxa" w:w="2160"/>
          </w:tcPr>
          <w:p>
            <w:r>
              <w:t>1.200 EUR</w:t>
            </w:r>
          </w:p>
        </w:tc>
        <w:tc>
          <w:tcPr>
            <w:tcW w:type="dxa" w:w="2160"/>
          </w:tcPr>
          <w:p>
            <w:r>
              <w:t>1.500 EUR</w:t>
            </w:r>
          </w:p>
        </w:tc>
      </w:tr>
      <w:tr>
        <w:tc>
          <w:tcPr>
            <w:tcW w:type="dxa" w:w="2160"/>
          </w:tcPr>
          <w:p>
            <w:r>
              <w:t>Pedidos/mes</w:t>
            </w:r>
          </w:p>
        </w:tc>
        <w:tc>
          <w:tcPr>
            <w:tcW w:type="dxa" w:w="2160"/>
          </w:tcPr>
          <w:p>
            <w:r>
              <w:t>15</w:t>
            </w:r>
          </w:p>
        </w:tc>
        <w:tc>
          <w:tcPr>
            <w:tcW w:type="dxa" w:w="2160"/>
          </w:tcPr>
          <w:p>
            <w:r>
              <w:t>50</w:t>
            </w:r>
          </w:p>
        </w:tc>
        <w:tc>
          <w:tcPr>
            <w:tcW w:type="dxa" w:w="2160"/>
          </w:tcPr>
          <w:p>
            <w:r>
              <w:t>100</w:t>
            </w:r>
          </w:p>
        </w:tc>
      </w:tr>
      <w:tr>
        <w:tc>
          <w:tcPr>
            <w:tcW w:type="dxa" w:w="2160"/>
          </w:tcPr>
          <w:p>
            <w:r>
              <w:t>Facturación anual</w:t>
            </w:r>
          </w:p>
        </w:tc>
        <w:tc>
          <w:tcPr>
            <w:tcW w:type="dxa" w:w="2160"/>
          </w:tcPr>
          <w:p>
            <w:r>
              <w:t>144.000 EUR</w:t>
            </w:r>
          </w:p>
        </w:tc>
        <w:tc>
          <w:tcPr>
            <w:tcW w:type="dxa" w:w="2160"/>
          </w:tcPr>
          <w:p>
            <w:r>
              <w:t>720.000 EUR</w:t>
            </w:r>
          </w:p>
        </w:tc>
        <w:tc>
          <w:tcPr>
            <w:tcW w:type="dxa" w:w="2160"/>
          </w:tcPr>
          <w:p>
            <w:r>
              <w:t>1.800.000 EUR</w:t>
            </w:r>
          </w:p>
        </w:tc>
      </w:tr>
    </w:tbl>
    <w:p/>
    <w:p>
      <w:pPr>
        <w:pStyle w:val="Heading2"/>
      </w:pPr>
      <w:r>
        <w:t>7.2 Facturación adicional (productos españoles → Alemania)</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shd w:fill="1A3C6E"/>
          </w:tcPr>
          <w:p>
            <w:r>
              <w:rPr>
                <w:b/>
                <w:color w:val="FFFFFF"/>
              </w:rPr>
            </w:r>
          </w:p>
        </w:tc>
        <w:tc>
          <w:tcPr>
            <w:tcW w:type="dxa" w:w="2160"/>
            <w:shd w:fill="1A3C6E"/>
          </w:tcPr>
          <w:p>
            <w:r>
              <w:rPr>
                <w:b/>
                <w:color w:val="FFFFFF"/>
              </w:rPr>
              <w:t>Año 1</w:t>
            </w:r>
          </w:p>
        </w:tc>
        <w:tc>
          <w:tcPr>
            <w:tcW w:type="dxa" w:w="2160"/>
            <w:shd w:fill="1A3C6E"/>
          </w:tcPr>
          <w:p>
            <w:r>
              <w:rPr>
                <w:b/>
                <w:color w:val="FFFFFF"/>
              </w:rPr>
              <w:t>Año 2</w:t>
            </w:r>
          </w:p>
        </w:tc>
        <w:tc>
          <w:tcPr>
            <w:tcW w:type="dxa" w:w="2160"/>
            <w:shd w:fill="1A3C6E"/>
          </w:tcPr>
          <w:p>
            <w:r>
              <w:rPr>
                <w:b/>
                <w:color w:val="FFFFFF"/>
              </w:rPr>
              <w:t>Año 3</w:t>
            </w:r>
          </w:p>
        </w:tc>
      </w:tr>
      <w:tr>
        <w:tc>
          <w:tcPr>
            <w:tcW w:type="dxa" w:w="2160"/>
          </w:tcPr>
          <w:p>
            <w:r>
              <w:t>Facturación anual</w:t>
            </w:r>
          </w:p>
        </w:tc>
        <w:tc>
          <w:tcPr>
            <w:tcW w:type="dxa" w:w="2160"/>
          </w:tcPr>
          <w:p>
            <w:r>
              <w:t>36.000 EUR</w:t>
            </w:r>
          </w:p>
        </w:tc>
        <w:tc>
          <w:tcPr>
            <w:tcW w:type="dxa" w:w="2160"/>
          </w:tcPr>
          <w:p>
            <w:r>
              <w:t>180.000 EUR</w:t>
            </w:r>
          </w:p>
        </w:tc>
        <w:tc>
          <w:tcPr>
            <w:tcW w:type="dxa" w:w="2160"/>
          </w:tcPr>
          <w:p>
            <w:r>
              <w:t>400.000 EUR</w:t>
            </w:r>
          </w:p>
        </w:tc>
      </w:tr>
    </w:tbl>
    <w:p/>
    <w:p>
      <w:pPr>
        <w:pStyle w:val="Heading2"/>
      </w:pPr>
      <w:r>
        <w:t>7.3 Previsión de facturación total</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shd w:fill="1A3C6E"/>
          </w:tcPr>
          <w:p>
            <w:r>
              <w:rPr>
                <w:b/>
                <w:color w:val="FFFFFF"/>
              </w:rPr>
            </w:r>
          </w:p>
        </w:tc>
        <w:tc>
          <w:tcPr>
            <w:tcW w:type="dxa" w:w="2160"/>
            <w:shd w:fill="1A3C6E"/>
          </w:tcPr>
          <w:p>
            <w:r>
              <w:rPr>
                <w:b/>
                <w:color w:val="FFFFFF"/>
              </w:rPr>
              <w:t>Año 1</w:t>
            </w:r>
          </w:p>
        </w:tc>
        <w:tc>
          <w:tcPr>
            <w:tcW w:type="dxa" w:w="2160"/>
            <w:shd w:fill="1A3C6E"/>
          </w:tcPr>
          <w:p>
            <w:r>
              <w:rPr>
                <w:b/>
                <w:color w:val="FFFFFF"/>
              </w:rPr>
              <w:t>Año 2</w:t>
            </w:r>
          </w:p>
        </w:tc>
        <w:tc>
          <w:tcPr>
            <w:tcW w:type="dxa" w:w="2160"/>
            <w:shd w:fill="1A3C6E"/>
          </w:tcPr>
          <w:p>
            <w:r>
              <w:rPr>
                <w:b/>
                <w:color w:val="FFFFFF"/>
              </w:rPr>
              <w:t>Año 3</w:t>
            </w:r>
          </w:p>
        </w:tc>
      </w:tr>
      <w:tr>
        <w:tc>
          <w:tcPr>
            <w:tcW w:type="dxa" w:w="2160"/>
          </w:tcPr>
          <w:p>
            <w:r>
              <w:t>Facturación total</w:t>
            </w:r>
          </w:p>
        </w:tc>
        <w:tc>
          <w:tcPr>
            <w:tcW w:type="dxa" w:w="2160"/>
          </w:tcPr>
          <w:p>
            <w:r>
              <w:t>180.000 EUR</w:t>
            </w:r>
          </w:p>
        </w:tc>
        <w:tc>
          <w:tcPr>
            <w:tcW w:type="dxa" w:w="2160"/>
          </w:tcPr>
          <w:p>
            <w:r>
              <w:t>900.000 EUR</w:t>
            </w:r>
          </w:p>
        </w:tc>
        <w:tc>
          <w:tcPr>
            <w:tcW w:type="dxa" w:w="2160"/>
          </w:tcPr>
          <w:p>
            <w:r>
              <w:t>2.200.000 EUR</w:t>
            </w:r>
          </w:p>
        </w:tc>
      </w:tr>
      <w:tr>
        <w:tc>
          <w:tcPr>
            <w:tcW w:type="dxa" w:w="2160"/>
          </w:tcPr>
          <w:p>
            <w:r>
              <w:t>Margen bruto (35%)</w:t>
            </w:r>
          </w:p>
        </w:tc>
        <w:tc>
          <w:tcPr>
            <w:tcW w:type="dxa" w:w="2160"/>
          </w:tcPr>
          <w:p>
            <w:r>
              <w:t>63.000 EUR</w:t>
            </w:r>
          </w:p>
        </w:tc>
        <w:tc>
          <w:tcPr>
            <w:tcW w:type="dxa" w:w="2160"/>
          </w:tcPr>
          <w:p>
            <w:r>
              <w:t>315.000 EUR</w:t>
            </w:r>
          </w:p>
        </w:tc>
        <w:tc>
          <w:tcPr>
            <w:tcW w:type="dxa" w:w="2160"/>
          </w:tcPr>
          <w:p>
            <w:r>
              <w:t>770.000 EUR</w:t>
            </w:r>
          </w:p>
        </w:tc>
      </w:tr>
    </w:tbl>
    <w:p/>
    <w:p>
      <w:pPr>
        <w:pStyle w:val="Heading1"/>
      </w:pPr>
      <w:r>
        <w:t>8. Planificación de Costes</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shd w:fill="1A3C6E"/>
          </w:tcPr>
          <w:p>
            <w:r>
              <w:rPr>
                <w:b/>
                <w:color w:val="FFFFFF"/>
              </w:rPr>
              <w:t>Concepto</w:t>
            </w:r>
          </w:p>
        </w:tc>
        <w:tc>
          <w:tcPr>
            <w:tcW w:type="dxa" w:w="2160"/>
            <w:shd w:fill="1A3C6E"/>
          </w:tcPr>
          <w:p>
            <w:r>
              <w:rPr>
                <w:b/>
                <w:color w:val="FFFFFF"/>
              </w:rPr>
              <w:t>Año 1</w:t>
            </w:r>
          </w:p>
        </w:tc>
        <w:tc>
          <w:tcPr>
            <w:tcW w:type="dxa" w:w="2160"/>
            <w:shd w:fill="1A3C6E"/>
          </w:tcPr>
          <w:p>
            <w:r>
              <w:rPr>
                <w:b/>
                <w:color w:val="FFFFFF"/>
              </w:rPr>
              <w:t>Año 2</w:t>
            </w:r>
          </w:p>
        </w:tc>
        <w:tc>
          <w:tcPr>
            <w:tcW w:type="dxa" w:w="2160"/>
            <w:shd w:fill="1A3C6E"/>
          </w:tcPr>
          <w:p>
            <w:r>
              <w:rPr>
                <w:b/>
                <w:color w:val="FFFFFF"/>
              </w:rPr>
              <w:t>Año 3</w:t>
            </w:r>
          </w:p>
        </w:tc>
      </w:tr>
      <w:tr>
        <w:tc>
          <w:tcPr>
            <w:tcW w:type="dxa" w:w="2160"/>
          </w:tcPr>
          <w:p>
            <w:r>
              <w:t>Salario fundador</w:t>
            </w:r>
          </w:p>
        </w:tc>
        <w:tc>
          <w:tcPr>
            <w:tcW w:type="dxa" w:w="2160"/>
          </w:tcPr>
          <w:p>
            <w:r>
              <w:t>60.000 EUR</w:t>
            </w:r>
          </w:p>
        </w:tc>
        <w:tc>
          <w:tcPr>
            <w:tcW w:type="dxa" w:w="2160"/>
          </w:tcPr>
          <w:p>
            <w:r>
              <w:t>60.000 EUR</w:t>
            </w:r>
          </w:p>
        </w:tc>
        <w:tc>
          <w:tcPr>
            <w:tcW w:type="dxa" w:w="2160"/>
          </w:tcPr>
          <w:p>
            <w:r>
              <w:t>72.000 EUR</w:t>
            </w:r>
          </w:p>
        </w:tc>
      </w:tr>
      <w:tr>
        <w:tc>
          <w:tcPr>
            <w:tcW w:type="dxa" w:w="2160"/>
          </w:tcPr>
          <w:p>
            <w:r>
              <w:t>Comercial</w:t>
            </w:r>
          </w:p>
        </w:tc>
        <w:tc>
          <w:tcPr>
            <w:tcW w:type="dxa" w:w="2160"/>
          </w:tcPr>
          <w:p>
            <w:r>
              <w:t>42.000 EUR</w:t>
            </w:r>
          </w:p>
        </w:tc>
        <w:tc>
          <w:tcPr>
            <w:tcW w:type="dxa" w:w="2160"/>
          </w:tcPr>
          <w:p>
            <w:r>
              <w:t>42.000 EUR</w:t>
            </w:r>
          </w:p>
        </w:tc>
        <w:tc>
          <w:tcPr>
            <w:tcW w:type="dxa" w:w="2160"/>
          </w:tcPr>
          <w:p>
            <w:r>
              <w:t>45.000 EUR</w:t>
            </w:r>
          </w:p>
        </w:tc>
      </w:tr>
      <w:tr>
        <w:tc>
          <w:tcPr>
            <w:tcW w:type="dxa" w:w="2160"/>
          </w:tcPr>
          <w:p>
            <w:r>
              <w:t>Asistente (t. parcial, desde M3)</w:t>
            </w:r>
          </w:p>
        </w:tc>
        <w:tc>
          <w:tcPr>
            <w:tcW w:type="dxa" w:w="2160"/>
          </w:tcPr>
          <w:p>
            <w:r>
              <w:t>13.500 EUR</w:t>
            </w:r>
          </w:p>
        </w:tc>
        <w:tc>
          <w:tcPr>
            <w:tcW w:type="dxa" w:w="2160"/>
          </w:tcPr>
          <w:p>
            <w:r>
              <w:t>18.000 EUR</w:t>
            </w:r>
          </w:p>
        </w:tc>
        <w:tc>
          <w:tcPr>
            <w:tcW w:type="dxa" w:w="2160"/>
          </w:tcPr>
          <w:p>
            <w:r>
              <w:t>24.000 EUR</w:t>
            </w:r>
          </w:p>
        </w:tc>
      </w:tr>
      <w:tr>
        <w:tc>
          <w:tcPr>
            <w:tcW w:type="dxa" w:w="2160"/>
          </w:tcPr>
          <w:p>
            <w:r>
              <w:t>Encargado de almacén (desde A2)</w:t>
            </w:r>
          </w:p>
        </w:tc>
        <w:tc>
          <w:tcPr>
            <w:tcW w:type="dxa" w:w="2160"/>
          </w:tcPr>
          <w:p>
            <w:r>
              <w:t>—</w:t>
            </w:r>
          </w:p>
        </w:tc>
        <w:tc>
          <w:tcPr>
            <w:tcW w:type="dxa" w:w="2160"/>
          </w:tcPr>
          <w:p>
            <w:r>
              <w:t>36.000 EUR</w:t>
            </w:r>
          </w:p>
        </w:tc>
        <w:tc>
          <w:tcPr>
            <w:tcW w:type="dxa" w:w="2160"/>
          </w:tcPr>
          <w:p>
            <w:r>
              <w:t>38.000 EUR</w:t>
            </w:r>
          </w:p>
        </w:tc>
      </w:tr>
      <w:tr>
        <w:tc>
          <w:tcPr>
            <w:tcW w:type="dxa" w:w="2160"/>
          </w:tcPr>
          <w:p>
            <w:r>
              <w:t>Alquiler (oficina/almacén)</w:t>
            </w:r>
          </w:p>
        </w:tc>
        <w:tc>
          <w:tcPr>
            <w:tcW w:type="dxa" w:w="2160"/>
          </w:tcPr>
          <w:p>
            <w:r>
              <w:t>6.000 EUR</w:t>
            </w:r>
          </w:p>
        </w:tc>
        <w:tc>
          <w:tcPr>
            <w:tcW w:type="dxa" w:w="2160"/>
          </w:tcPr>
          <w:p>
            <w:r>
              <w:t>18.000 EUR</w:t>
            </w:r>
          </w:p>
        </w:tc>
        <w:tc>
          <w:tcPr>
            <w:tcW w:type="dxa" w:w="2160"/>
          </w:tcPr>
          <w:p>
            <w:r>
              <w:t>30.000 EUR</w:t>
            </w:r>
          </w:p>
        </w:tc>
      </w:tr>
      <w:tr>
        <w:tc>
          <w:tcPr>
            <w:tcW w:type="dxa" w:w="2160"/>
          </w:tcPr>
          <w:p>
            <w:r>
              <w:t>Marketing</w:t>
            </w:r>
          </w:p>
        </w:tc>
        <w:tc>
          <w:tcPr>
            <w:tcW w:type="dxa" w:w="2160"/>
          </w:tcPr>
          <w:p>
            <w:r>
              <w:t>12.000 EUR</w:t>
            </w:r>
          </w:p>
        </w:tc>
        <w:tc>
          <w:tcPr>
            <w:tcW w:type="dxa" w:w="2160"/>
          </w:tcPr>
          <w:p>
            <w:r>
              <w:t>20.000 EUR</w:t>
            </w:r>
          </w:p>
        </w:tc>
        <w:tc>
          <w:tcPr>
            <w:tcW w:type="dxa" w:w="2160"/>
          </w:tcPr>
          <w:p>
            <w:r>
              <w:t>35.000 EUR</w:t>
            </w:r>
          </w:p>
        </w:tc>
      </w:tr>
      <w:tr>
        <w:tc>
          <w:tcPr>
            <w:tcW w:type="dxa" w:w="2160"/>
          </w:tcPr>
          <w:p>
            <w:r>
              <w:t>Logística/envíos</w:t>
            </w:r>
          </w:p>
        </w:tc>
        <w:tc>
          <w:tcPr>
            <w:tcW w:type="dxa" w:w="2160"/>
          </w:tcPr>
          <w:p>
            <w:r>
              <w:t>8.000 EUR</w:t>
            </w:r>
          </w:p>
        </w:tc>
        <w:tc>
          <w:tcPr>
            <w:tcW w:type="dxa" w:w="2160"/>
          </w:tcPr>
          <w:p>
            <w:r>
              <w:t>25.000 EUR</w:t>
            </w:r>
          </w:p>
        </w:tc>
        <w:tc>
          <w:tcPr>
            <w:tcW w:type="dxa" w:w="2160"/>
          </w:tcPr>
          <w:p>
            <w:r>
              <w:t>50.000 EUR</w:t>
            </w:r>
          </w:p>
        </w:tc>
      </w:tr>
      <w:tr>
        <w:tc>
          <w:tcPr>
            <w:tcW w:type="dxa" w:w="2160"/>
          </w:tcPr>
          <w:p>
            <w:r>
              <w:t>Gastos de viaje</w:t>
            </w:r>
          </w:p>
        </w:tc>
        <w:tc>
          <w:tcPr>
            <w:tcW w:type="dxa" w:w="2160"/>
          </w:tcPr>
          <w:p>
            <w:r>
              <w:t>12.000 EUR</w:t>
            </w:r>
          </w:p>
        </w:tc>
        <w:tc>
          <w:tcPr>
            <w:tcW w:type="dxa" w:w="2160"/>
          </w:tcPr>
          <w:p>
            <w:r>
              <w:t>15.000 EUR</w:t>
            </w:r>
          </w:p>
        </w:tc>
        <w:tc>
          <w:tcPr>
            <w:tcW w:type="dxa" w:w="2160"/>
          </w:tcPr>
          <w:p>
            <w:r>
              <w:t>15.000 EUR</w:t>
            </w:r>
          </w:p>
        </w:tc>
      </w:tr>
      <w:tr>
        <w:tc>
          <w:tcPr>
            <w:tcW w:type="dxa" w:w="2160"/>
          </w:tcPr>
          <w:p>
            <w:r>
              <w:t>Varios</w:t>
            </w:r>
          </w:p>
        </w:tc>
        <w:tc>
          <w:tcPr>
            <w:tcW w:type="dxa" w:w="2160"/>
          </w:tcPr>
          <w:p>
            <w:r>
              <w:t>4.000 EUR</w:t>
            </w:r>
          </w:p>
        </w:tc>
        <w:tc>
          <w:tcPr>
            <w:tcW w:type="dxa" w:w="2160"/>
          </w:tcPr>
          <w:p>
            <w:r>
              <w:t>8.000 EUR</w:t>
            </w:r>
          </w:p>
        </w:tc>
        <w:tc>
          <w:tcPr>
            <w:tcW w:type="dxa" w:w="2160"/>
          </w:tcPr>
          <w:p>
            <w:r>
              <w:t>12.000 EUR</w:t>
            </w:r>
          </w:p>
        </w:tc>
      </w:tr>
      <w:tr>
        <w:tc>
          <w:tcPr>
            <w:tcW w:type="dxa" w:w="2160"/>
          </w:tcPr>
          <w:p>
            <w:r>
              <w:t>Total</w:t>
            </w:r>
          </w:p>
        </w:tc>
        <w:tc>
          <w:tcPr>
            <w:tcW w:type="dxa" w:w="2160"/>
          </w:tcPr>
          <w:p>
            <w:r>
              <w:t>157.500 EUR</w:t>
            </w:r>
          </w:p>
        </w:tc>
        <w:tc>
          <w:tcPr>
            <w:tcW w:type="dxa" w:w="2160"/>
          </w:tcPr>
          <w:p>
            <w:r>
              <w:t>242.000 EUR</w:t>
            </w:r>
          </w:p>
        </w:tc>
        <w:tc>
          <w:tcPr>
            <w:tcW w:type="dxa" w:w="2160"/>
          </w:tcPr>
          <w:p>
            <w:r>
              <w:t>321.000 EUR</w:t>
            </w:r>
          </w:p>
        </w:tc>
      </w:tr>
    </w:tbl>
    <w:p/>
    <w:p>
      <w:pPr>
        <w:pStyle w:val="Heading1"/>
      </w:pPr>
      <w:r>
        <w:t>9. Planificación de Beneficios</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shd w:fill="1A3C6E"/>
          </w:tcPr>
          <w:p>
            <w:r>
              <w:rPr>
                <w:b/>
                <w:color w:val="FFFFFF"/>
              </w:rPr>
            </w:r>
          </w:p>
        </w:tc>
        <w:tc>
          <w:tcPr>
            <w:tcW w:type="dxa" w:w="2160"/>
            <w:shd w:fill="1A3C6E"/>
          </w:tcPr>
          <w:p>
            <w:r>
              <w:rPr>
                <w:b/>
                <w:color w:val="FFFFFF"/>
              </w:rPr>
              <w:t>Año 1</w:t>
            </w:r>
          </w:p>
        </w:tc>
        <w:tc>
          <w:tcPr>
            <w:tcW w:type="dxa" w:w="2160"/>
            <w:shd w:fill="1A3C6E"/>
          </w:tcPr>
          <w:p>
            <w:r>
              <w:rPr>
                <w:b/>
                <w:color w:val="FFFFFF"/>
              </w:rPr>
              <w:t>Año 2</w:t>
            </w:r>
          </w:p>
        </w:tc>
        <w:tc>
          <w:tcPr>
            <w:tcW w:type="dxa" w:w="2160"/>
            <w:shd w:fill="1A3C6E"/>
          </w:tcPr>
          <w:p>
            <w:r>
              <w:rPr>
                <w:b/>
                <w:color w:val="FFFFFF"/>
              </w:rPr>
              <w:t>Año 3</w:t>
            </w:r>
          </w:p>
        </w:tc>
      </w:tr>
      <w:tr>
        <w:tc>
          <w:tcPr>
            <w:tcW w:type="dxa" w:w="2160"/>
          </w:tcPr>
          <w:p>
            <w:r>
              <w:t>Margen bruto</w:t>
            </w:r>
          </w:p>
        </w:tc>
        <w:tc>
          <w:tcPr>
            <w:tcW w:type="dxa" w:w="2160"/>
          </w:tcPr>
          <w:p>
            <w:r>
              <w:t>63.000 EUR</w:t>
            </w:r>
          </w:p>
        </w:tc>
        <w:tc>
          <w:tcPr>
            <w:tcW w:type="dxa" w:w="2160"/>
          </w:tcPr>
          <w:p>
            <w:r>
              <w:t>315.000 EUR</w:t>
            </w:r>
          </w:p>
        </w:tc>
        <w:tc>
          <w:tcPr>
            <w:tcW w:type="dxa" w:w="2160"/>
          </w:tcPr>
          <w:p>
            <w:r>
              <w:t>770.000 EUR</w:t>
            </w:r>
          </w:p>
        </w:tc>
      </w:tr>
      <w:tr>
        <w:tc>
          <w:tcPr>
            <w:tcW w:type="dxa" w:w="2160"/>
          </w:tcPr>
          <w:p>
            <w:r>
              <w:t>Costes operativos</w:t>
            </w:r>
          </w:p>
        </w:tc>
        <w:tc>
          <w:tcPr>
            <w:tcW w:type="dxa" w:w="2160"/>
          </w:tcPr>
          <w:p>
            <w:r>
              <w:t>157.500 EUR</w:t>
            </w:r>
          </w:p>
        </w:tc>
        <w:tc>
          <w:tcPr>
            <w:tcW w:type="dxa" w:w="2160"/>
          </w:tcPr>
          <w:p>
            <w:r>
              <w:t>242.000 EUR</w:t>
            </w:r>
          </w:p>
        </w:tc>
        <w:tc>
          <w:tcPr>
            <w:tcW w:type="dxa" w:w="2160"/>
          </w:tcPr>
          <w:p>
            <w:r>
              <w:t>321.000 EUR</w:t>
            </w:r>
          </w:p>
        </w:tc>
      </w:tr>
      <w:tr>
        <w:tc>
          <w:tcPr>
            <w:tcW w:type="dxa" w:w="2160"/>
          </w:tcPr>
          <w:p>
            <w:r>
              <w:t>Resultado antes de impuestos</w:t>
            </w:r>
          </w:p>
        </w:tc>
        <w:tc>
          <w:tcPr>
            <w:tcW w:type="dxa" w:w="2160"/>
          </w:tcPr>
          <w:p>
            <w:r>
              <w:t>-94.500 EUR</w:t>
            </w:r>
          </w:p>
        </w:tc>
        <w:tc>
          <w:tcPr>
            <w:tcW w:type="dxa" w:w="2160"/>
          </w:tcPr>
          <w:p>
            <w:r>
              <w:t>+73.000 EUR</w:t>
            </w:r>
          </w:p>
        </w:tc>
        <w:tc>
          <w:tcPr>
            <w:tcW w:type="dxa" w:w="2160"/>
          </w:tcPr>
          <w:p>
            <w:r>
              <w:t>+449.000 EUR</w:t>
            </w:r>
          </w:p>
        </w:tc>
      </w:tr>
    </w:tbl>
    <w:p/>
    <w:p>
      <w:r>
        <w:t>→ La empresa es rentable a partir del mes 15 aproximadamente (acumulado).</w:t>
      </w:r>
    </w:p>
    <w:p>
      <w:r>
        <w:t>→ El crédito bancario se amortiza con el flujo de caja operativo.</w:t>
      </w:r>
    </w:p>
    <w:p>
      <w:pPr>
        <w:pStyle w:val="Heading1"/>
      </w:pPr>
      <w:r>
        <w:t>10. Oportunidades y Riesgos</w:t>
      </w:r>
    </w:p>
    <w:p>
      <w:pPr>
        <w:pStyle w:val="Heading2"/>
      </w:pPr>
      <w:r>
        <w:t>Oportunidades</w:t>
      </w:r>
    </w:p>
    <w:p>
      <w:pPr>
        <w:pStyle w:val="ListBullet"/>
      </w:pPr>
      <w:r>
        <w:t>Distribución exclusiva en un mercado sin cubrir</w:t>
      </w:r>
    </w:p>
    <w:p>
      <w:pPr>
        <w:pStyle w:val="ListBullet"/>
      </w:pPr>
      <w:r>
        <w:t>Alta demanda en el creciente sector de la restauración</w:t>
      </w:r>
    </w:p>
    <w:p>
      <w:pPr>
        <w:pStyle w:val="ListBullet"/>
      </w:pPr>
      <w:r>
        <w:t>Productos alemanes de calidad como diferenciación</w:t>
      </w:r>
    </w:p>
    <w:p>
      <w:pPr>
        <w:pStyle w:val="ListBullet"/>
      </w:pPr>
      <w:r>
        <w:t>Comercio bidireccional — doble potencial de facturación</w:t>
      </w:r>
    </w:p>
    <w:p>
      <w:pPr>
        <w:pStyle w:val="ListBullet"/>
      </w:pPr>
      <w:r>
        <w:t>Los programas de financiación de la UE apoyan la restauración del patrimonio</w:t>
      </w:r>
    </w:p>
    <w:p>
      <w:pPr>
        <w:pStyle w:val="ListBullet"/>
      </w:pPr>
      <w:r>
        <w:t>Inicio inmediato de las ventas gracias al comercial propio</w:t>
      </w:r>
    </w:p>
    <w:p>
      <w:pPr>
        <w:pStyle w:val="Heading2"/>
      </w:pPr>
      <w:r>
        <w:t>Riesgos y Medidas Preventivas</w:t>
      </w:r>
    </w:p>
    <w:tbl>
      <w:tblPr>
        <w:tblStyle w:val="LightGrid-Accent1"/>
        <w:tblW w:type="auto" w:w="0"/>
        <w:tblLook w:firstColumn="1" w:firstRow="1" w:lastColumn="0" w:lastRow="0" w:noHBand="0" w:noVBand="1" w:val="04A0"/>
      </w:tblPr>
      <w:tblGrid>
        <w:gridCol w:w="2880"/>
        <w:gridCol w:w="2880"/>
        <w:gridCol w:w="2880"/>
      </w:tblGrid>
      <w:tr>
        <w:tc>
          <w:tcPr>
            <w:tcW w:type="dxa" w:w="2880"/>
            <w:shd w:fill="1A3C6E"/>
          </w:tcPr>
          <w:p>
            <w:r>
              <w:rPr>
                <w:b/>
                <w:color w:val="FFFFFF"/>
              </w:rPr>
              <w:t>Riesgo</w:t>
            </w:r>
          </w:p>
        </w:tc>
        <w:tc>
          <w:tcPr>
            <w:tcW w:type="dxa" w:w="2880"/>
            <w:shd w:fill="1A3C6E"/>
          </w:tcPr>
          <w:p>
            <w:r>
              <w:rPr>
                <w:b/>
                <w:color w:val="FFFFFF"/>
              </w:rPr>
              <w:t>Probabilidad</w:t>
            </w:r>
          </w:p>
        </w:tc>
        <w:tc>
          <w:tcPr>
            <w:tcW w:type="dxa" w:w="2880"/>
            <w:shd w:fill="1A3C6E"/>
          </w:tcPr>
          <w:p>
            <w:r>
              <w:rPr>
                <w:b/>
                <w:color w:val="FFFFFF"/>
              </w:rPr>
              <w:t>Medida preventiva</w:t>
            </w:r>
          </w:p>
        </w:tc>
      </w:tr>
      <w:tr>
        <w:tc>
          <w:tcPr>
            <w:tcW w:type="dxa" w:w="2880"/>
          </w:tcPr>
          <w:p>
            <w:r>
              <w:t>Entrada lenta al mercado</w:t>
            </w:r>
          </w:p>
        </w:tc>
        <w:tc>
          <w:tcPr>
            <w:tcW w:type="dxa" w:w="2880"/>
          </w:tcPr>
          <w:p>
            <w:r>
              <w:t>Media</w:t>
            </w:r>
          </w:p>
        </w:tc>
        <w:tc>
          <w:tcPr>
            <w:tcW w:type="dxa" w:w="2880"/>
          </w:tcPr>
          <w:p>
            <w:r>
              <w:t>Comercial desde el día 1, participación en ferias</w:t>
            </w:r>
          </w:p>
        </w:tc>
      </w:tr>
      <w:tr>
        <w:tc>
          <w:tcPr>
            <w:tcW w:type="dxa" w:w="2880"/>
          </w:tcPr>
          <w:p>
            <w:r>
              <w:t>Entrada de un competidor</w:t>
            </w:r>
          </w:p>
        </w:tc>
        <w:tc>
          <w:tcPr>
            <w:tcW w:type="dxa" w:w="2880"/>
          </w:tcPr>
          <w:p>
            <w:r>
              <w:t>Baja</w:t>
            </w:r>
          </w:p>
        </w:tc>
        <w:tc>
          <w:tcPr>
            <w:tcW w:type="dxa" w:w="2880"/>
          </w:tcPr>
          <w:p>
            <w:r>
              <w:t>Ventaja del primer entrante, contrato de exclusividad</w:t>
            </w:r>
          </w:p>
        </w:tc>
      </w:tr>
      <w:tr>
        <w:tc>
          <w:tcPr>
            <w:tcW w:type="dxa" w:w="2880"/>
          </w:tcPr>
          <w:p>
            <w:r>
              <w:t>Dependencia del proveedor</w:t>
            </w:r>
          </w:p>
        </w:tc>
        <w:tc>
          <w:tcPr>
            <w:tcW w:type="dxa" w:w="2880"/>
          </w:tcPr>
          <w:p>
            <w:r>
              <w:t>Media</w:t>
            </w:r>
          </w:p>
        </w:tc>
        <w:tc>
          <w:tcPr>
            <w:tcW w:type="dxa" w:w="2880"/>
          </w:tcPr>
          <w:p>
            <w:r>
              <w:t>Diversificación (proveedores IT + ES)</w:t>
            </w:r>
          </w:p>
        </w:tc>
      </w:tr>
      <w:tr>
        <w:tc>
          <w:tcPr>
            <w:tcW w:type="dxa" w:w="2880"/>
          </w:tcPr>
          <w:p>
            <w:r>
              <w:t>Impagos</w:t>
            </w:r>
          </w:p>
        </w:tc>
        <w:tc>
          <w:tcPr>
            <w:tcW w:type="dxa" w:w="2880"/>
          </w:tcPr>
          <w:p>
            <w:r>
              <w:t>Media</w:t>
            </w:r>
          </w:p>
        </w:tc>
        <w:tc>
          <w:tcPr>
            <w:tcW w:type="dxa" w:w="2880"/>
          </w:tcPr>
          <w:p>
            <w:r>
              <w:t>Pago anticipado a nuevos clientes, seguro de crédito</w:t>
            </w:r>
          </w:p>
        </w:tc>
      </w:tr>
    </w:tbl>
    <w:p/>
    <w:p>
      <w:pPr>
        <w:pStyle w:val="Heading1"/>
      </w:pPr>
      <w:r>
        <w:t>11. Solicitud de Financiación (Banco — tras 6 meses)</w:t>
      </w:r>
    </w:p>
    <w:p>
      <w:r>
        <w:rPr>
          <w:b/>
        </w:rPr>
        <w:t xml:space="preserve">Capital necesario: </w:t>
      </w:r>
      <w:r>
        <w:t>60.000 EUR como crédito bancario</w:t>
      </w:r>
    </w:p>
    <w:p/>
    <w:p>
      <w:r>
        <w:rPr>
          <w:b/>
        </w:rPr>
        <w:t xml:space="preserve">Destino: </w:t>
      </w:r>
      <w:r>
        <w:t>Establecimiento de almacén en España, ampliación del catálogo, financiación del crecimiento</w:t>
      </w:r>
    </w:p>
    <w:p/>
    <w:p>
      <w:pPr>
        <w:pStyle w:val="Heading2"/>
      </w:pPr>
      <w:r>
        <w:t>Garantías:</w:t>
      </w:r>
    </w:p>
    <w:p>
      <w:pPr>
        <w:pStyle w:val="ListBullet"/>
      </w:pPr>
      <w:r>
        <w:t>Contrato de exclusividad con Aurelio GmbH</w:t>
      </w:r>
    </w:p>
    <w:p>
      <w:pPr>
        <w:pStyle w:val="ListBullet"/>
      </w:pPr>
      <w:r>
        <w:t>Participación existente del inversor (100.000 EUR)</w:t>
      </w:r>
    </w:p>
    <w:p>
      <w:pPr>
        <w:pStyle w:val="ListBullet"/>
      </w:pPr>
      <w:r>
        <w:t>Facturación acreditada de 6 meses de actividad</w:t>
      </w:r>
    </w:p>
    <w:p>
      <w:pPr>
        <w:pStyle w:val="ListBullet"/>
      </w:pPr>
      <w:r>
        <w:t>Evolución positiva de los beneficios</w:t>
      </w:r>
    </w:p>
    <w:p>
      <w:pPr>
        <w:pStyle w:val="ListBullet"/>
      </w:pPr>
      <w:r>
        <w:t>Aval personal posible</w:t>
      </w:r>
    </w:p>
    <w:p>
      <w:pPr>
        <w:pStyle w:val="Heading1"/>
      </w:pPr>
      <w:r>
        <w:t>12. Observaciones Finales</w:t>
      </w:r>
    </w:p>
    <w:p>
      <w:r>
        <w:t>El modelo de negocio es escalable, de fuerte crecimiento y se basa en un porfolio de productos europeos ya consolidado. El enfoque de comercio bidireccional (DE→ES y ES→DE) maximiza la eficiencia logística y abre dos mercados con una sola infraestructura. La incorporación inmediata de un comercial acelera la entrada al mercado. Las previsiones de facturación son realistas y aptas para la presentación bancaria. El contrato de exclusividad con Aurelio GmbH asegura el acceso al mercado de forma sostenible.</w:t>
      </w:r>
    </w:p>
    <w:p/>
    <w:p/>
    <w:p>
      <w:r>
        <w:rPr>
          <w:b/>
        </w:rPr>
        <w:t>Krefeld, Abril 2026</w:t>
      </w:r>
    </w:p>
    <w:p/>
    <w:p>
      <w:r>
        <w:rPr>
          <w:b/>
        </w:rPr>
        <w:t>Moritz Finger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3C6E"/>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A3C6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